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6E4C" w:rsidRPr="009F6E4C" w:rsidRDefault="009F6E4C" w:rsidP="008202D9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9F6E4C">
        <w:rPr>
          <w:rFonts w:ascii="Arial" w:hAnsi="Arial" w:cs="Arial"/>
          <w:sz w:val="22"/>
          <w:szCs w:val="22"/>
        </w:rPr>
        <w:t xml:space="preserve">Government is committed to reducing the regulatory burden on the liquor and gaming industry to support tourism as one of the four pillars of the </w:t>
      </w:r>
      <w:smartTag w:uri="urn:schemas-microsoft-com:office:smarttags" w:element="State">
        <w:smartTag w:uri="urn:schemas-microsoft-com:office:smarttags" w:element="place">
          <w:r w:rsidRPr="009F6E4C"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 w:rsidRPr="009F6E4C">
        <w:rPr>
          <w:rFonts w:ascii="Arial" w:hAnsi="Arial" w:cs="Arial"/>
          <w:sz w:val="22"/>
          <w:szCs w:val="22"/>
        </w:rPr>
        <w:t xml:space="preserve"> economy.</w:t>
      </w:r>
    </w:p>
    <w:p w:rsidR="009F6E4C" w:rsidRPr="009F6E4C" w:rsidRDefault="009F6E4C" w:rsidP="008202D9">
      <w:pPr>
        <w:numPr>
          <w:ilvl w:val="0"/>
          <w:numId w:val="1"/>
        </w:numPr>
        <w:tabs>
          <w:tab w:val="clear" w:pos="720"/>
          <w:tab w:val="left" w:pos="567"/>
        </w:tabs>
        <w:spacing w:before="240"/>
        <w:ind w:left="567" w:hanging="567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In accordance with this commitment, the Liquor </w:t>
      </w:r>
      <w:r w:rsidR="00031521">
        <w:rPr>
          <w:rFonts w:ascii="Arial" w:hAnsi="Arial" w:cs="Arial"/>
          <w:sz w:val="22"/>
          <w:szCs w:val="22"/>
        </w:rPr>
        <w:t xml:space="preserve">(Red Tape Reduction) </w:t>
      </w:r>
      <w:r w:rsidRPr="009F6E4C">
        <w:rPr>
          <w:rFonts w:ascii="Arial" w:hAnsi="Arial" w:cs="Arial"/>
          <w:sz w:val="22"/>
          <w:szCs w:val="22"/>
        </w:rPr>
        <w:t>and Other Legislation Amendment Bill 2013</w:t>
      </w:r>
      <w:r w:rsidRPr="009F6E4C">
        <w:rPr>
          <w:rFonts w:ascii="Arial" w:hAnsi="Arial" w:cs="Arial"/>
          <w:i/>
          <w:sz w:val="22"/>
          <w:szCs w:val="22"/>
        </w:rPr>
        <w:t xml:space="preserve"> </w:t>
      </w:r>
      <w:r w:rsidRPr="009F6E4C">
        <w:rPr>
          <w:rFonts w:ascii="Arial" w:hAnsi="Arial" w:cs="Arial"/>
          <w:sz w:val="22"/>
          <w:szCs w:val="22"/>
        </w:rPr>
        <w:t>amends liquor and gaming legislation to implement a number of red tape reduction and miscellaneous proposals, including: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extend term of adult entertainment permits (AEPs) from one to three years;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allowing approvals for AEP controllers to be transferable to multiple venues;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exempt tourist operators supplying limited amount of liquor to clients as part of a tour;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remove approved manager requirements for certain low risk premises, including licensed restaurants/cafes, small community clubs (2,000 members or less), community other clubs and restricted liquor permittees where the premises do not operate beyond midnight;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remove approved manager requirements for licensed</w:t>
      </w:r>
      <w:r w:rsidRPr="009F6E4C">
        <w:rPr>
          <w:rFonts w:ascii="Arial" w:hAnsi="Arial" w:cs="Arial"/>
        </w:rPr>
        <w:t xml:space="preserve"> </w:t>
      </w:r>
      <w:r w:rsidRPr="009F6E4C">
        <w:rPr>
          <w:rFonts w:ascii="Arial" w:hAnsi="Arial" w:cs="Arial"/>
          <w:sz w:val="22"/>
          <w:szCs w:val="22"/>
        </w:rPr>
        <w:t>vessels;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destruction of gaming machines without the Commissioner of Liquor and Gaming’s (Commissioner’s) written approval;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allowing liquor licensees suffering significant financial hardship to pay annual fees by instalment; 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removing the requirement for licensees to keep a register of persons trained in </w:t>
      </w:r>
      <w:r w:rsidR="00CA47C2">
        <w:rPr>
          <w:rFonts w:ascii="Arial" w:hAnsi="Arial" w:cs="Arial"/>
          <w:sz w:val="22"/>
          <w:szCs w:val="22"/>
        </w:rPr>
        <w:t>responsible service of alcohol (</w:t>
      </w:r>
      <w:r w:rsidRPr="009F6E4C">
        <w:rPr>
          <w:rFonts w:ascii="Arial" w:hAnsi="Arial" w:cs="Arial"/>
          <w:sz w:val="22"/>
          <w:szCs w:val="22"/>
        </w:rPr>
        <w:t>RSA</w:t>
      </w:r>
      <w:r w:rsidR="00CA47C2">
        <w:rPr>
          <w:rFonts w:ascii="Arial" w:hAnsi="Arial" w:cs="Arial"/>
          <w:sz w:val="22"/>
          <w:szCs w:val="22"/>
        </w:rPr>
        <w:t>)</w:t>
      </w:r>
      <w:r w:rsidRPr="009F6E4C">
        <w:rPr>
          <w:rFonts w:ascii="Arial" w:hAnsi="Arial" w:cs="Arial"/>
          <w:sz w:val="22"/>
          <w:szCs w:val="22"/>
        </w:rPr>
        <w:t>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allowing persons trained in </w:t>
      </w:r>
      <w:r w:rsidR="00C97D77">
        <w:rPr>
          <w:rFonts w:ascii="Arial" w:hAnsi="Arial" w:cs="Arial"/>
          <w:sz w:val="22"/>
          <w:szCs w:val="22"/>
        </w:rPr>
        <w:t xml:space="preserve">responsible management of licensed venues </w:t>
      </w:r>
      <w:r w:rsidRPr="009F6E4C">
        <w:rPr>
          <w:rFonts w:ascii="Arial" w:hAnsi="Arial" w:cs="Arial"/>
          <w:sz w:val="22"/>
          <w:szCs w:val="22"/>
        </w:rPr>
        <w:t xml:space="preserve">to be recognised as RSA trained; </w:t>
      </w:r>
    </w:p>
    <w:p w:rsidR="009F6E4C" w:rsidRPr="00917ACE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reducing gaming machine licence application requirements that are prescribed in the </w:t>
      </w:r>
      <w:r w:rsidRPr="009F6E4C">
        <w:rPr>
          <w:rFonts w:ascii="Arial" w:hAnsi="Arial" w:cs="Arial"/>
          <w:i/>
          <w:sz w:val="22"/>
          <w:szCs w:val="22"/>
        </w:rPr>
        <w:t>Gaming Machine Act 1991</w:t>
      </w:r>
      <w:r w:rsidR="00917ACE">
        <w:rPr>
          <w:rFonts w:ascii="Arial" w:hAnsi="Arial" w:cs="Arial"/>
          <w:i/>
          <w:sz w:val="22"/>
          <w:szCs w:val="22"/>
        </w:rPr>
        <w:t>;</w:t>
      </w:r>
    </w:p>
    <w:p w:rsidR="00917ACE" w:rsidRPr="009F6E4C" w:rsidRDefault="00917ACE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amendments to fair trading legislation, namely the </w:t>
      </w:r>
      <w:r w:rsidRPr="00917ACE">
        <w:rPr>
          <w:rFonts w:ascii="Arial" w:hAnsi="Arial" w:cs="Arial"/>
          <w:i/>
          <w:sz w:val="22"/>
          <w:szCs w:val="22"/>
        </w:rPr>
        <w:t>Roman Catholic Church (incorporation of Church Entities) Act 1994</w:t>
      </w:r>
      <w:r>
        <w:rPr>
          <w:rFonts w:ascii="Arial" w:hAnsi="Arial" w:cs="Arial"/>
          <w:sz w:val="22"/>
          <w:szCs w:val="22"/>
        </w:rPr>
        <w:t xml:space="preserve">, </w:t>
      </w:r>
      <w:r w:rsidRPr="00917ACE">
        <w:rPr>
          <w:rFonts w:ascii="Arial" w:hAnsi="Arial" w:cs="Arial"/>
          <w:i/>
          <w:sz w:val="22"/>
          <w:szCs w:val="22"/>
        </w:rPr>
        <w:t>Roman Catholic Church Lands Act 1985</w:t>
      </w:r>
      <w:r>
        <w:rPr>
          <w:rFonts w:ascii="Arial" w:hAnsi="Arial" w:cs="Arial"/>
          <w:sz w:val="22"/>
          <w:szCs w:val="22"/>
        </w:rPr>
        <w:t xml:space="preserve"> and the </w:t>
      </w:r>
      <w:r w:rsidRPr="00917ACE">
        <w:rPr>
          <w:rFonts w:ascii="Arial" w:hAnsi="Arial" w:cs="Arial"/>
          <w:i/>
          <w:sz w:val="22"/>
          <w:szCs w:val="22"/>
        </w:rPr>
        <w:t>Security Providers Act 1993</w:t>
      </w:r>
      <w:r>
        <w:rPr>
          <w:rFonts w:ascii="Arial" w:hAnsi="Arial" w:cs="Arial"/>
          <w:sz w:val="22"/>
          <w:szCs w:val="22"/>
        </w:rPr>
        <w:t>, to reduce red tape, correct omissions and improve legislative clarity and integrity;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 xml:space="preserve">amendments to the </w:t>
      </w:r>
      <w:r w:rsidRPr="009F6E4C">
        <w:rPr>
          <w:rFonts w:ascii="Arial" w:hAnsi="Arial" w:cs="Arial"/>
          <w:i/>
          <w:sz w:val="22"/>
          <w:szCs w:val="22"/>
        </w:rPr>
        <w:t>Wagering Act 1998</w:t>
      </w:r>
      <w:r w:rsidRPr="009F6E4C">
        <w:rPr>
          <w:rFonts w:ascii="Arial" w:hAnsi="Arial" w:cs="Arial"/>
          <w:sz w:val="22"/>
          <w:szCs w:val="22"/>
        </w:rPr>
        <w:t>, to give direct legislative authority under that Act for the Minister to extend the term of a sports wagering licence; and</w:t>
      </w:r>
    </w:p>
    <w:p w:rsidR="009F6E4C" w:rsidRPr="009F6E4C" w:rsidRDefault="009F6E4C" w:rsidP="00286EF9">
      <w:pPr>
        <w:numPr>
          <w:ilvl w:val="0"/>
          <w:numId w:val="5"/>
        </w:numPr>
        <w:tabs>
          <w:tab w:val="clear" w:pos="360"/>
          <w:tab w:val="num" w:pos="900"/>
        </w:tabs>
        <w:spacing w:before="60"/>
        <w:ind w:left="900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sz w:val="22"/>
          <w:szCs w:val="22"/>
        </w:rPr>
        <w:t>other miscellaneous amendments to liquor and gaming legislation.</w:t>
      </w:r>
    </w:p>
    <w:p w:rsidR="009F6E4C" w:rsidRPr="009F6E4C" w:rsidRDefault="009F6E4C" w:rsidP="008202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F6E4C">
        <w:rPr>
          <w:rFonts w:ascii="Arial" w:hAnsi="Arial" w:cs="Arial"/>
          <w:bCs/>
          <w:spacing w:val="-3"/>
          <w:sz w:val="22"/>
          <w:szCs w:val="22"/>
        </w:rPr>
        <w:t xml:space="preserve">The amendments will allow </w:t>
      </w:r>
      <w:smartTag w:uri="urn:schemas-microsoft-com:office:smarttags" w:element="place">
        <w:smartTag w:uri="urn:schemas-microsoft-com:office:smarttags" w:element="State">
          <w:r w:rsidRPr="009F6E4C">
            <w:rPr>
              <w:rFonts w:ascii="Arial" w:hAnsi="Arial" w:cs="Arial"/>
              <w:bCs/>
              <w:spacing w:val="-3"/>
              <w:sz w:val="22"/>
              <w:szCs w:val="22"/>
            </w:rPr>
            <w:t>Queensland</w:t>
          </w:r>
        </w:smartTag>
      </w:smartTag>
      <w:r w:rsidRPr="009F6E4C">
        <w:rPr>
          <w:rFonts w:ascii="Arial" w:hAnsi="Arial" w:cs="Arial"/>
          <w:bCs/>
          <w:spacing w:val="-3"/>
          <w:sz w:val="22"/>
          <w:szCs w:val="22"/>
        </w:rPr>
        <w:t xml:space="preserve"> hospitality and tourism industries to operate more efficiently, while maintaining safeguards to manage potential risks from liquor and gaming. </w:t>
      </w:r>
    </w:p>
    <w:p w:rsidR="009F6E4C" w:rsidRPr="009F6E4C" w:rsidRDefault="009F6E4C" w:rsidP="008202D9">
      <w:pPr>
        <w:numPr>
          <w:ilvl w:val="0"/>
          <w:numId w:val="1"/>
        </w:numPr>
        <w:tabs>
          <w:tab w:val="clear" w:pos="720"/>
          <w:tab w:val="num" w:pos="360"/>
        </w:tabs>
        <w:spacing w:before="240"/>
        <w:ind w:left="357" w:hanging="357"/>
        <w:jc w:val="both"/>
        <w:rPr>
          <w:rFonts w:ascii="Arial" w:hAnsi="Arial" w:cs="Arial"/>
          <w:bCs/>
          <w:i/>
          <w:spacing w:val="-3"/>
          <w:sz w:val="22"/>
          <w:szCs w:val="22"/>
        </w:rPr>
      </w:pPr>
      <w:r w:rsidRPr="009F6E4C">
        <w:rPr>
          <w:rFonts w:ascii="Arial" w:hAnsi="Arial" w:cs="Arial"/>
          <w:bCs/>
          <w:spacing w:val="-3"/>
          <w:sz w:val="22"/>
          <w:szCs w:val="22"/>
          <w:u w:val="single"/>
        </w:rPr>
        <w:t>Cabinet approved</w:t>
      </w:r>
      <w:r w:rsidRPr="009F6E4C">
        <w:rPr>
          <w:rFonts w:ascii="Arial" w:hAnsi="Arial" w:cs="Arial"/>
          <w:bCs/>
          <w:spacing w:val="-3"/>
          <w:sz w:val="22"/>
          <w:szCs w:val="22"/>
        </w:rPr>
        <w:t xml:space="preserve"> the introduction of the </w:t>
      </w:r>
      <w:r w:rsidRPr="009F6E4C">
        <w:rPr>
          <w:rFonts w:ascii="Arial" w:hAnsi="Arial" w:cs="Arial"/>
          <w:sz w:val="22"/>
          <w:szCs w:val="22"/>
        </w:rPr>
        <w:t xml:space="preserve">Liquor </w:t>
      </w:r>
      <w:r w:rsidR="00031521" w:rsidRPr="00031521">
        <w:rPr>
          <w:rFonts w:ascii="Arial" w:hAnsi="Arial" w:cs="Arial"/>
          <w:sz w:val="22"/>
          <w:szCs w:val="22"/>
        </w:rPr>
        <w:t xml:space="preserve">(Red Tape Reduction) </w:t>
      </w:r>
      <w:r w:rsidRPr="009F6E4C">
        <w:rPr>
          <w:rFonts w:ascii="Arial" w:hAnsi="Arial" w:cs="Arial"/>
          <w:sz w:val="22"/>
          <w:szCs w:val="22"/>
        </w:rPr>
        <w:t>and Other Legislation Amendment Bill 2013</w:t>
      </w:r>
      <w:r w:rsidRPr="009F6E4C">
        <w:rPr>
          <w:rFonts w:ascii="Arial" w:hAnsi="Arial" w:cs="Arial"/>
          <w:bCs/>
          <w:spacing w:val="-3"/>
          <w:sz w:val="22"/>
          <w:szCs w:val="22"/>
        </w:rPr>
        <w:t xml:space="preserve"> into the Legislative Assembly</w:t>
      </w:r>
      <w:r w:rsidRPr="009F6E4C">
        <w:rPr>
          <w:rFonts w:ascii="Arial" w:hAnsi="Arial" w:cs="Arial"/>
          <w:bCs/>
          <w:i/>
          <w:spacing w:val="-3"/>
          <w:sz w:val="22"/>
          <w:szCs w:val="22"/>
        </w:rPr>
        <w:t>.</w:t>
      </w:r>
    </w:p>
    <w:p w:rsidR="009F6E4C" w:rsidRPr="009F6E4C" w:rsidRDefault="009F6E4C" w:rsidP="008202D9">
      <w:pPr>
        <w:keepNext/>
        <w:numPr>
          <w:ilvl w:val="0"/>
          <w:numId w:val="1"/>
        </w:numPr>
        <w:tabs>
          <w:tab w:val="clear" w:pos="720"/>
          <w:tab w:val="num" w:pos="360"/>
        </w:tabs>
        <w:spacing w:before="360"/>
        <w:ind w:left="357" w:hanging="357"/>
        <w:jc w:val="both"/>
        <w:rPr>
          <w:rFonts w:ascii="Arial" w:hAnsi="Arial" w:cs="Arial"/>
          <w:sz w:val="22"/>
          <w:szCs w:val="22"/>
        </w:rPr>
      </w:pPr>
      <w:r w:rsidRPr="009F6E4C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9F6E4C" w:rsidRPr="009F6E4C" w:rsidRDefault="004B6EB0" w:rsidP="009F6E4C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7" w:history="1">
        <w:r w:rsidR="009F6E4C" w:rsidRPr="00031521">
          <w:rPr>
            <w:rStyle w:val="Hyperlink"/>
            <w:rFonts w:ascii="Arial" w:hAnsi="Arial" w:cs="Arial"/>
            <w:sz w:val="22"/>
            <w:szCs w:val="22"/>
          </w:rPr>
          <w:t xml:space="preserve">Liquor </w:t>
        </w:r>
        <w:r w:rsidR="00031521" w:rsidRPr="00031521">
          <w:rPr>
            <w:rStyle w:val="Hyperlink"/>
            <w:rFonts w:ascii="Arial" w:hAnsi="Arial" w:cs="Arial"/>
            <w:sz w:val="22"/>
            <w:szCs w:val="22"/>
          </w:rPr>
          <w:t xml:space="preserve">(Red Tape Reduction) </w:t>
        </w:r>
        <w:r w:rsidR="009F6E4C" w:rsidRPr="00031521">
          <w:rPr>
            <w:rStyle w:val="Hyperlink"/>
            <w:rFonts w:ascii="Arial" w:hAnsi="Arial" w:cs="Arial"/>
            <w:sz w:val="22"/>
            <w:szCs w:val="22"/>
          </w:rPr>
          <w:t xml:space="preserve">and Other </w:t>
        </w:r>
        <w:r w:rsidR="00F02C5D" w:rsidRPr="00031521">
          <w:rPr>
            <w:rStyle w:val="Hyperlink"/>
            <w:rFonts w:ascii="Arial" w:hAnsi="Arial" w:cs="Arial"/>
            <w:sz w:val="22"/>
            <w:szCs w:val="22"/>
          </w:rPr>
          <w:t>Legislation Amendment Bill 2013</w:t>
        </w:r>
      </w:hyperlink>
    </w:p>
    <w:p w:rsidR="00E973BC" w:rsidRPr="00C42E0A" w:rsidRDefault="004B6EB0" w:rsidP="00C42E0A">
      <w:pPr>
        <w:numPr>
          <w:ilvl w:val="0"/>
          <w:numId w:val="2"/>
        </w:numPr>
        <w:spacing w:before="120"/>
        <w:ind w:left="811"/>
        <w:jc w:val="both"/>
        <w:rPr>
          <w:rFonts w:ascii="Arial" w:hAnsi="Arial" w:cs="Arial"/>
          <w:sz w:val="22"/>
          <w:szCs w:val="22"/>
        </w:rPr>
      </w:pPr>
      <w:hyperlink r:id="rId8" w:history="1">
        <w:r w:rsidR="009F6E4C" w:rsidRPr="000755F9">
          <w:rPr>
            <w:rStyle w:val="Hyperlink"/>
            <w:rFonts w:ascii="Arial" w:hAnsi="Arial" w:cs="Arial"/>
            <w:sz w:val="22"/>
            <w:szCs w:val="22"/>
          </w:rPr>
          <w:t>Explanatory Notes</w:t>
        </w:r>
      </w:hyperlink>
      <w:r w:rsidR="009F6E4C" w:rsidRPr="009F6E4C">
        <w:rPr>
          <w:rFonts w:ascii="Arial" w:hAnsi="Arial" w:cs="Arial"/>
          <w:sz w:val="22"/>
          <w:szCs w:val="22"/>
        </w:rPr>
        <w:t>.</w:t>
      </w:r>
    </w:p>
    <w:sectPr w:rsidR="00E973BC" w:rsidRPr="00C42E0A" w:rsidSect="008202D9">
      <w:headerReference w:type="default" r:id="rId9"/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1EA3" w:rsidRDefault="004D1EA3" w:rsidP="00D6589B">
      <w:r>
        <w:separator/>
      </w:r>
    </w:p>
  </w:endnote>
  <w:endnote w:type="continuationSeparator" w:id="0">
    <w:p w:rsidR="004D1EA3" w:rsidRDefault="004D1EA3" w:rsidP="00D658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1EA3" w:rsidRDefault="004D1EA3" w:rsidP="00D6589B">
      <w:r>
        <w:separator/>
      </w:r>
    </w:p>
  </w:footnote>
  <w:footnote w:type="continuationSeparator" w:id="0">
    <w:p w:rsidR="004D1EA3" w:rsidRDefault="004D1EA3" w:rsidP="00D658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2D9" w:rsidRPr="00937A4A" w:rsidRDefault="008202D9" w:rsidP="00F02C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jc w:val="center"/>
      <w:rPr>
        <w:rFonts w:ascii="Arial" w:hAnsi="Arial" w:cs="Arial"/>
        <w:b/>
        <w:color w:val="auto"/>
        <w:sz w:val="28"/>
        <w:szCs w:val="22"/>
        <w:lang w:eastAsia="en-US"/>
      </w:rPr>
    </w:pPr>
    <w:r w:rsidRPr="00937A4A">
      <w:rPr>
        <w:rFonts w:ascii="Arial" w:hAnsi="Arial" w:cs="Arial"/>
        <w:b/>
        <w:color w:val="auto"/>
        <w:sz w:val="28"/>
        <w:szCs w:val="22"/>
        <w:lang w:eastAsia="en-US"/>
      </w:rPr>
      <w:t>Queensland Government</w:t>
    </w:r>
  </w:p>
  <w:p w:rsidR="008202D9" w:rsidRPr="00937A4A" w:rsidRDefault="008202D9" w:rsidP="00F02C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4320"/>
        <w:tab w:val="right" w:pos="8640"/>
        <w:tab w:val="right" w:pos="9072"/>
      </w:tabs>
      <w:rPr>
        <w:rFonts w:ascii="Arial" w:hAnsi="Arial" w:cs="Arial"/>
        <w:b/>
        <w:color w:val="auto"/>
        <w:sz w:val="14"/>
        <w:szCs w:val="22"/>
        <w:u w:val="single"/>
        <w:lang w:eastAsia="en-US"/>
      </w:rPr>
    </w:pPr>
  </w:p>
  <w:p w:rsidR="008202D9" w:rsidRPr="00937A4A" w:rsidRDefault="008202D9" w:rsidP="00F02C5D">
    <w:pPr>
      <w:pBdr>
        <w:top w:val="thinThickLargeGap" w:sz="24" w:space="4" w:color="auto"/>
        <w:left w:val="thinThickLargeGap" w:sz="24" w:space="4" w:color="auto"/>
        <w:bottom w:val="thickThinLargeGap" w:sz="24" w:space="4" w:color="auto"/>
        <w:right w:val="thickThinLargeGap" w:sz="24" w:space="4" w:color="auto"/>
      </w:pBdr>
      <w:tabs>
        <w:tab w:val="center" w:pos="0"/>
      </w:tabs>
      <w:jc w:val="center"/>
      <w:rPr>
        <w:rFonts w:ascii="Arial" w:hAnsi="Arial" w:cs="Arial"/>
        <w:b/>
        <w:color w:val="auto"/>
        <w:sz w:val="22"/>
        <w:szCs w:val="22"/>
        <w:lang w:eastAsia="en-US"/>
      </w:rPr>
    </w:pPr>
    <w:r w:rsidRPr="00937A4A">
      <w:rPr>
        <w:rFonts w:ascii="Arial" w:hAnsi="Arial" w:cs="Arial"/>
        <w:b/>
        <w:color w:val="auto"/>
        <w:sz w:val="22"/>
        <w:szCs w:val="22"/>
        <w:lang w:eastAsia="en-US"/>
      </w:rPr>
      <w:t xml:space="preserve">Cabinet – </w:t>
    </w:r>
    <w:r>
      <w:rPr>
        <w:rFonts w:ascii="Arial" w:hAnsi="Arial" w:cs="Arial"/>
        <w:b/>
        <w:color w:val="auto"/>
        <w:sz w:val="22"/>
        <w:szCs w:val="22"/>
        <w:lang w:eastAsia="en-US"/>
      </w:rPr>
      <w:t>October 2013</w:t>
    </w:r>
  </w:p>
  <w:p w:rsidR="008202D9" w:rsidRPr="009F6E4C" w:rsidRDefault="008202D9" w:rsidP="00D3675C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 w:rsidRPr="00D3675C">
      <w:rPr>
        <w:rFonts w:ascii="Arial" w:hAnsi="Arial" w:cs="Arial"/>
        <w:b/>
        <w:color w:val="auto"/>
        <w:sz w:val="22"/>
        <w:szCs w:val="22"/>
        <w:u w:val="single"/>
      </w:rPr>
      <w:t xml:space="preserve">Liquor </w:t>
    </w:r>
    <w:r w:rsidR="00031521">
      <w:rPr>
        <w:rFonts w:ascii="Arial" w:hAnsi="Arial" w:cs="Arial"/>
        <w:b/>
        <w:color w:val="auto"/>
        <w:sz w:val="22"/>
        <w:szCs w:val="22"/>
        <w:u w:val="single"/>
      </w:rPr>
      <w:t xml:space="preserve">(Red Tape Reduction) </w:t>
    </w:r>
    <w:r w:rsidRPr="00D3675C">
      <w:rPr>
        <w:rFonts w:ascii="Arial" w:hAnsi="Arial" w:cs="Arial"/>
        <w:b/>
        <w:color w:val="auto"/>
        <w:sz w:val="22"/>
        <w:szCs w:val="22"/>
        <w:u w:val="single"/>
      </w:rPr>
      <w:t>and Other Legislation A</w:t>
    </w:r>
    <w:r w:rsidRPr="009F6E4C">
      <w:rPr>
        <w:rFonts w:ascii="Arial" w:hAnsi="Arial" w:cs="Arial"/>
        <w:b/>
        <w:sz w:val="22"/>
        <w:szCs w:val="22"/>
        <w:u w:val="single"/>
      </w:rPr>
      <w:t>mendment Bill 2013</w:t>
    </w:r>
  </w:p>
  <w:p w:rsidR="008202D9" w:rsidRDefault="008202D9" w:rsidP="008202D9">
    <w:pPr>
      <w:pStyle w:val="Header"/>
      <w:spacing w:before="120"/>
      <w:rPr>
        <w:rFonts w:ascii="Arial" w:hAnsi="Arial" w:cs="Arial"/>
        <w:sz w:val="22"/>
        <w:szCs w:val="22"/>
      </w:rPr>
    </w:pPr>
    <w:r w:rsidRPr="009F6E4C">
      <w:rPr>
        <w:rFonts w:ascii="Arial" w:hAnsi="Arial" w:cs="Arial"/>
        <w:b/>
        <w:sz w:val="22"/>
        <w:szCs w:val="22"/>
        <w:u w:val="single"/>
      </w:rPr>
      <w:t>Attorney-G</w:t>
    </w:r>
    <w:r>
      <w:rPr>
        <w:rFonts w:ascii="Arial" w:hAnsi="Arial" w:cs="Arial"/>
        <w:b/>
        <w:sz w:val="22"/>
        <w:szCs w:val="22"/>
        <w:u w:val="single"/>
      </w:rPr>
      <w:t>eneral and Minister for Justice</w:t>
    </w:r>
  </w:p>
  <w:p w:rsidR="008202D9" w:rsidRPr="008202D9" w:rsidRDefault="008202D9" w:rsidP="008202D9">
    <w:pPr>
      <w:pStyle w:val="Header"/>
      <w:pBdr>
        <w:bottom w:val="single" w:sz="4" w:space="1" w:color="auto"/>
      </w:pBdr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35C28"/>
    <w:multiLevelType w:val="hybridMultilevel"/>
    <w:tmpl w:val="89CA6B4E"/>
    <w:lvl w:ilvl="0" w:tplc="AF3E8DC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D5479B5"/>
    <w:multiLevelType w:val="multilevel"/>
    <w:tmpl w:val="89CA6B4E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5862A8"/>
    <w:multiLevelType w:val="hybridMultilevel"/>
    <w:tmpl w:val="36F8489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4"/>
      </w:rPr>
    </w:lvl>
    <w:lvl w:ilvl="1" w:tplc="C3E60A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814"/>
        </w:tabs>
        <w:ind w:left="81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F176F87"/>
    <w:multiLevelType w:val="hybridMultilevel"/>
    <w:tmpl w:val="B97E8E0E"/>
    <w:lvl w:ilvl="0" w:tplc="228261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cs="Times New Roman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89B"/>
    <w:rsid w:val="00031521"/>
    <w:rsid w:val="000430DD"/>
    <w:rsid w:val="0005753B"/>
    <w:rsid w:val="000755F9"/>
    <w:rsid w:val="00080F8F"/>
    <w:rsid w:val="0008575A"/>
    <w:rsid w:val="000D4238"/>
    <w:rsid w:val="00102858"/>
    <w:rsid w:val="001318FA"/>
    <w:rsid w:val="00140936"/>
    <w:rsid w:val="00174117"/>
    <w:rsid w:val="001E209B"/>
    <w:rsid w:val="001E7127"/>
    <w:rsid w:val="00212C37"/>
    <w:rsid w:val="0021344B"/>
    <w:rsid w:val="00262BAB"/>
    <w:rsid w:val="00286EF9"/>
    <w:rsid w:val="002B27E6"/>
    <w:rsid w:val="002C1C0D"/>
    <w:rsid w:val="002D649F"/>
    <w:rsid w:val="0035142B"/>
    <w:rsid w:val="00382BAE"/>
    <w:rsid w:val="003A13A1"/>
    <w:rsid w:val="003B5871"/>
    <w:rsid w:val="004B6EB0"/>
    <w:rsid w:val="004D1EA3"/>
    <w:rsid w:val="004E3AE1"/>
    <w:rsid w:val="004F044A"/>
    <w:rsid w:val="00501C66"/>
    <w:rsid w:val="0050474C"/>
    <w:rsid w:val="00550873"/>
    <w:rsid w:val="00602470"/>
    <w:rsid w:val="00606508"/>
    <w:rsid w:val="006521E7"/>
    <w:rsid w:val="00654B0A"/>
    <w:rsid w:val="006E392A"/>
    <w:rsid w:val="00732E22"/>
    <w:rsid w:val="00757B12"/>
    <w:rsid w:val="008202D9"/>
    <w:rsid w:val="00821E64"/>
    <w:rsid w:val="008A4523"/>
    <w:rsid w:val="008B4095"/>
    <w:rsid w:val="008F44CD"/>
    <w:rsid w:val="00917ACE"/>
    <w:rsid w:val="0093748E"/>
    <w:rsid w:val="009F6E4C"/>
    <w:rsid w:val="00A527A5"/>
    <w:rsid w:val="00AD7250"/>
    <w:rsid w:val="00AE69F0"/>
    <w:rsid w:val="00C07656"/>
    <w:rsid w:val="00C40FB0"/>
    <w:rsid w:val="00C42E0A"/>
    <w:rsid w:val="00C7064A"/>
    <w:rsid w:val="00C75E67"/>
    <w:rsid w:val="00C97D77"/>
    <w:rsid w:val="00CA47C2"/>
    <w:rsid w:val="00CB1501"/>
    <w:rsid w:val="00CD1D51"/>
    <w:rsid w:val="00CE6FBA"/>
    <w:rsid w:val="00CF0D8A"/>
    <w:rsid w:val="00CF66BA"/>
    <w:rsid w:val="00D113E4"/>
    <w:rsid w:val="00D20BF1"/>
    <w:rsid w:val="00D3675C"/>
    <w:rsid w:val="00D6589B"/>
    <w:rsid w:val="00D75134"/>
    <w:rsid w:val="00DB6FE7"/>
    <w:rsid w:val="00DE61EC"/>
    <w:rsid w:val="00E40004"/>
    <w:rsid w:val="00E973BC"/>
    <w:rsid w:val="00F02C5D"/>
    <w:rsid w:val="00F10DF9"/>
    <w:rsid w:val="00F6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589B"/>
    <w:rPr>
      <w:rFonts w:ascii="Times New Roman" w:hAnsi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1"/>
    <w:rsid w:val="00D6589B"/>
    <w:pPr>
      <w:tabs>
        <w:tab w:val="center" w:pos="4513"/>
        <w:tab w:val="right" w:pos="9026"/>
      </w:tabs>
    </w:pPr>
  </w:style>
  <w:style w:type="character" w:customStyle="1" w:styleId="HeaderChar1">
    <w:name w:val="Header Char1"/>
    <w:link w:val="Header"/>
    <w:locked/>
    <w:rsid w:val="00D6589B"/>
    <w:rPr>
      <w:rFonts w:cs="Times New Roman"/>
    </w:rPr>
  </w:style>
  <w:style w:type="paragraph" w:styleId="Footer">
    <w:name w:val="footer"/>
    <w:basedOn w:val="Normal"/>
    <w:link w:val="FooterChar"/>
    <w:semiHidden/>
    <w:rsid w:val="00D658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semiHidden/>
    <w:locked/>
    <w:rsid w:val="00D6589B"/>
    <w:rPr>
      <w:rFonts w:cs="Times New Roman"/>
    </w:rPr>
  </w:style>
  <w:style w:type="paragraph" w:styleId="BalloonText">
    <w:name w:val="Balloon Text"/>
    <w:basedOn w:val="Normal"/>
    <w:link w:val="BalloonTextChar"/>
    <w:semiHidden/>
    <w:rsid w:val="00D658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6589B"/>
    <w:rPr>
      <w:rFonts w:ascii="Tahoma" w:hAnsi="Tahoma" w:cs="Tahoma"/>
      <w:sz w:val="16"/>
      <w:szCs w:val="16"/>
    </w:rPr>
  </w:style>
  <w:style w:type="character" w:customStyle="1" w:styleId="HeaderChar">
    <w:name w:val="Header Char"/>
    <w:locked/>
    <w:rsid w:val="00D3675C"/>
    <w:rPr>
      <w:rFonts w:cs="Times New Roman"/>
    </w:rPr>
  </w:style>
  <w:style w:type="character" w:styleId="Hyperlink">
    <w:name w:val="Hyperlink"/>
    <w:rsid w:val="000755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ttachments/ExNotes.pdf" TargetMode="External"/><Relationship Id="rId3" Type="http://schemas.openxmlformats.org/officeDocument/2006/relationships/settings" Target="settings.xml"/><Relationship Id="rId7" Type="http://schemas.openxmlformats.org/officeDocument/2006/relationships/hyperlink" Target="Attachments/Bill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2105</Characters>
  <Application>Microsoft Office Word</Application>
  <DocSecurity>0</DocSecurity>
  <Lines>36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2454</CharactersWithSpaces>
  <SharedDoc>false</SharedDoc>
  <HyperlinkBase>https://www.cabinet.qld.gov.au/documents/2013/Oct/Liquor Bill/</HyperlinkBase>
  <HLinks>
    <vt:vector size="12" baseType="variant">
      <vt:variant>
        <vt:i4>8061050</vt:i4>
      </vt:variant>
      <vt:variant>
        <vt:i4>3</vt:i4>
      </vt:variant>
      <vt:variant>
        <vt:i4>0</vt:i4>
      </vt:variant>
      <vt:variant>
        <vt:i4>5</vt:i4>
      </vt:variant>
      <vt:variant>
        <vt:lpwstr>Attachments/ExNotes.pdf</vt:lpwstr>
      </vt:variant>
      <vt:variant>
        <vt:lpwstr/>
      </vt:variant>
      <vt:variant>
        <vt:i4>5242946</vt:i4>
      </vt:variant>
      <vt:variant>
        <vt:i4>0</vt:i4>
      </vt:variant>
      <vt:variant>
        <vt:i4>0</vt:i4>
      </vt:variant>
      <vt:variant>
        <vt:i4>5</vt:i4>
      </vt:variant>
      <vt:variant>
        <vt:lpwstr>Attachments/Bill.pdf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cp:lastPrinted>2014-01-29T00:51:00Z</cp:lastPrinted>
  <dcterms:created xsi:type="dcterms:W3CDTF">2017-10-25T00:54:00Z</dcterms:created>
  <dcterms:modified xsi:type="dcterms:W3CDTF">2018-03-06T01:22:00Z</dcterms:modified>
  <cp:category>Liquor,Alcohol,Gaming,Fair_Trading,Legislation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532301961</vt:i4>
  </property>
  <property fmtid="{D5CDD505-2E9C-101B-9397-08002B2CF9AE}" pid="3" name="_NewReviewCycle">
    <vt:lpwstr/>
  </property>
  <property fmtid="{D5CDD505-2E9C-101B-9397-08002B2CF9AE}" pid="4" name="_PreviousAdHocReviewCycleID">
    <vt:i4>-738944336</vt:i4>
  </property>
  <property fmtid="{D5CDD505-2E9C-101B-9397-08002B2CF9AE}" pid="5" name="_ReviewingToolsShownOnce">
    <vt:lpwstr/>
  </property>
</Properties>
</file>